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Новый порядок медпомощи для занимающихся физкультурой и спортом: что изменится с 1 сентября 2026 года?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Минздрав России утвердил новый регламент медицинского обеспечения физкультурников и спортсменов. Приказ от 19 мая 2026 г. № 484н вступает в силу 1 сентября 2026 года и будет действовать до 2032 года.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Ключевые изменения и нововведения: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✅ Упрощение допуска для любителей (ГТО и массовый спорт)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Если по результатам диспансеризации у вас I или II группа здоровья, оформлять отдельное заключение о допуске не нужно. Вы автоматически допускаетесь к занятиям массовым спортом, ГТО и этапу начальной подготовки. По желанию можно получить бумажное или электронное заключение на 1 год.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Спорт высоких достижений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участия в соревнованиях Единого календарного плана с повышенными нагрузками требуется осмотр у врача по спортивной медицине и дополнительные обследования (Приложение №1 к порядку).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✅ Утрата силы старых документов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Признаются утратившими силу приказы № 1144н от 23.10.2020 и все изменения к нему. Теперь все регулируется новым документом.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✅ Четкие требования к медпунктам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Прописаны нормативы оснащения медпунктов объектов спорта, состав бригад скорой помощи и мобильных бригад на мероприятиях. Например: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бригада СМП и 1 медпункт на 10 000 зрителей (не считая спортсменов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Электронный документооборот и телемедицина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Заключения о допуске можно получать как на бумаге, так и в виде электронного документа. Разрешено применение телемедицинских технологий.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✅ Антидопинговые правила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Лекарства и изделия, входящие в запрещенные списки ВАДА, в укладках врача по спортивной медицине будут маркироваться предупреждающими наклейками.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✅ Срок действия заключений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Медицинское заключение о допуске (если оно требуется) действительно не более 1 года со дня выдачи.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📌 Важно: Порядок также регулирует действия при травмах, заполнение извещений, отчетность и взаимодействие медицинских информационных систем.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СКАЧИВАЕМ и начинаем подготовку к новым правилам заранее. Уточнить информацию можно в региональных органах управления здравоохранением и спортом.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